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62B2" w:rsidRPr="006062B2" w:rsidRDefault="006062B2" w:rsidP="006062B2">
      <w:pPr>
        <w:jc w:val="both"/>
        <w:outlineLvl w:val="6"/>
        <w:rPr>
          <w:rFonts w:ascii="Times New Roman" w:hAnsi="Times New Roman" w:cs="Times New Roman"/>
          <w:sz w:val="24"/>
          <w:szCs w:val="24"/>
        </w:rPr>
      </w:pPr>
      <w:r w:rsidRPr="006062B2">
        <w:rPr>
          <w:rFonts w:ascii="Times New Roman" w:hAnsi="Times New Roman" w:cs="Times New Roman"/>
          <w:sz w:val="24"/>
          <w:szCs w:val="24"/>
        </w:rPr>
        <w:t>2019. március 27-én az EU hivatalos lapjának csatolt L0851 számában megjelent a 2019/496 európai parlamenti és tanácsi rendelet a 428/2009/EK tanácsi rendeletnek az Unióból az Egyesült Királyságba kivitt egyes kettős felhasználású termékekre vonatkozó uniós általános exportengedély megadása tekintetében történő módosításáról (a továbbiakban: EU rendelet).</w:t>
      </w:r>
    </w:p>
    <w:p w:rsidR="006062B2" w:rsidRPr="006062B2" w:rsidRDefault="006062B2" w:rsidP="006062B2">
      <w:pPr>
        <w:rPr>
          <w:rFonts w:ascii="Times New Roman" w:hAnsi="Times New Roman" w:cs="Times New Roman"/>
          <w:sz w:val="24"/>
          <w:szCs w:val="24"/>
        </w:rPr>
      </w:pPr>
    </w:p>
    <w:p w:rsidR="006062B2" w:rsidRPr="006062B2" w:rsidRDefault="006062B2" w:rsidP="006062B2">
      <w:pPr>
        <w:jc w:val="both"/>
        <w:rPr>
          <w:rFonts w:ascii="Times New Roman" w:hAnsi="Times New Roman" w:cs="Times New Roman"/>
          <w:sz w:val="24"/>
          <w:szCs w:val="24"/>
        </w:rPr>
      </w:pPr>
      <w:r w:rsidRPr="006062B2">
        <w:rPr>
          <w:rFonts w:ascii="Times New Roman" w:hAnsi="Times New Roman" w:cs="Times New Roman"/>
          <w:sz w:val="24"/>
          <w:szCs w:val="24"/>
        </w:rPr>
        <w:t xml:space="preserve">Az EU rendelet 1. cikke szerint a jogszabályváltozás 2019. március 28-tól lép hatályba. </w:t>
      </w:r>
    </w:p>
    <w:p w:rsidR="006062B2" w:rsidRPr="006062B2" w:rsidRDefault="006062B2" w:rsidP="006062B2">
      <w:pPr>
        <w:jc w:val="both"/>
        <w:rPr>
          <w:rFonts w:ascii="Times New Roman" w:hAnsi="Times New Roman" w:cs="Times New Roman"/>
          <w:sz w:val="24"/>
          <w:szCs w:val="24"/>
        </w:rPr>
      </w:pPr>
      <w:r w:rsidRPr="006062B2">
        <w:rPr>
          <w:rFonts w:ascii="Times New Roman" w:hAnsi="Times New Roman" w:cs="Times New Roman"/>
          <w:sz w:val="24"/>
          <w:szCs w:val="24"/>
        </w:rPr>
        <w:t xml:space="preserve">Az EU rendelet szerint a </w:t>
      </w:r>
      <w:proofErr w:type="spellStart"/>
      <w:r w:rsidRPr="006062B2">
        <w:rPr>
          <w:rFonts w:ascii="Times New Roman" w:hAnsi="Times New Roman" w:cs="Times New Roman"/>
          <w:sz w:val="24"/>
          <w:szCs w:val="24"/>
        </w:rPr>
        <w:t>Brexit</w:t>
      </w:r>
      <w:proofErr w:type="spellEnd"/>
      <w:r w:rsidRPr="006062B2">
        <w:rPr>
          <w:rFonts w:ascii="Times New Roman" w:hAnsi="Times New Roman" w:cs="Times New Roman"/>
          <w:sz w:val="24"/>
          <w:szCs w:val="24"/>
        </w:rPr>
        <w:t xml:space="preserve"> megvalósulása után az Egyesült Királyságba irányuló kivitelekhez Uniós Általános Exportengedélyre lesz szükség EU 001 engedélykód alkalmazásával.</w:t>
      </w:r>
    </w:p>
    <w:p w:rsidR="006062B2" w:rsidRPr="006062B2" w:rsidRDefault="006062B2" w:rsidP="006062B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062B2" w:rsidRPr="006062B2" w:rsidRDefault="006062B2" w:rsidP="006062B2">
      <w:pPr>
        <w:jc w:val="both"/>
        <w:rPr>
          <w:rFonts w:ascii="Times New Roman" w:hAnsi="Times New Roman" w:cs="Times New Roman"/>
          <w:sz w:val="24"/>
          <w:szCs w:val="24"/>
        </w:rPr>
      </w:pPr>
      <w:r w:rsidRPr="006062B2">
        <w:rPr>
          <w:rFonts w:ascii="Times New Roman" w:hAnsi="Times New Roman" w:cs="Times New Roman"/>
          <w:sz w:val="24"/>
          <w:szCs w:val="24"/>
        </w:rPr>
        <w:t>Fontos kiemelni, hogy az EU rendelet 2</w:t>
      </w:r>
      <w:r w:rsidR="00307472">
        <w:rPr>
          <w:rFonts w:ascii="Times New Roman" w:hAnsi="Times New Roman" w:cs="Times New Roman"/>
          <w:sz w:val="24"/>
          <w:szCs w:val="24"/>
        </w:rPr>
        <w:t>. cikke szerint az EU rendeletben foglalt rendelkezéseket</w:t>
      </w:r>
      <w:r w:rsidRPr="006062B2">
        <w:rPr>
          <w:rFonts w:ascii="Times New Roman" w:hAnsi="Times New Roman" w:cs="Times New Roman"/>
          <w:sz w:val="24"/>
          <w:szCs w:val="24"/>
        </w:rPr>
        <w:t xml:space="preserve"> azon napot követő naptól kell alkalmazni, amelytől az Egyesült Kir</w:t>
      </w:r>
      <w:r w:rsidR="00307472">
        <w:rPr>
          <w:rFonts w:ascii="Times New Roman" w:hAnsi="Times New Roman" w:cs="Times New Roman"/>
          <w:sz w:val="24"/>
          <w:szCs w:val="24"/>
        </w:rPr>
        <w:t>ályság már nem tagja az EU-nak</w:t>
      </w:r>
      <w:r w:rsidRPr="006062B2">
        <w:rPr>
          <w:rFonts w:ascii="Times New Roman" w:hAnsi="Times New Roman" w:cs="Times New Roman"/>
          <w:sz w:val="24"/>
          <w:szCs w:val="24"/>
        </w:rPr>
        <w:t>.</w:t>
      </w:r>
    </w:p>
    <w:p w:rsidR="006062B2" w:rsidRPr="006062B2" w:rsidRDefault="006062B2" w:rsidP="006062B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062B2" w:rsidRPr="006062B2" w:rsidRDefault="006062B2" w:rsidP="006062B2">
      <w:pPr>
        <w:jc w:val="both"/>
        <w:rPr>
          <w:rFonts w:ascii="Times New Roman" w:hAnsi="Times New Roman" w:cs="Times New Roman"/>
          <w:sz w:val="24"/>
          <w:szCs w:val="24"/>
        </w:rPr>
      </w:pPr>
      <w:r w:rsidRPr="006062B2">
        <w:rPr>
          <w:rFonts w:ascii="Times New Roman" w:hAnsi="Times New Roman" w:cs="Times New Roman"/>
          <w:sz w:val="24"/>
          <w:szCs w:val="24"/>
        </w:rPr>
        <w:t>A szóban forgó jogszabály az alábbi internetes címen érhető el:</w:t>
      </w:r>
    </w:p>
    <w:p w:rsidR="006062B2" w:rsidRPr="006062B2" w:rsidRDefault="00307472" w:rsidP="006062B2">
      <w:pPr>
        <w:rPr>
          <w:rFonts w:ascii="Times New Roman" w:hAnsi="Times New Roman" w:cs="Times New Roman"/>
          <w:sz w:val="24"/>
          <w:szCs w:val="24"/>
        </w:rPr>
      </w:pPr>
      <w:hyperlink r:id="rId4" w:history="1">
        <w:r w:rsidR="006062B2" w:rsidRPr="006062B2">
          <w:rPr>
            <w:rStyle w:val="Hiperhivatkozs"/>
            <w:rFonts w:ascii="Times New Roman" w:hAnsi="Times New Roman" w:cs="Times New Roman"/>
            <w:color w:val="auto"/>
            <w:sz w:val="24"/>
            <w:szCs w:val="24"/>
            <w:u w:val="none"/>
          </w:rPr>
          <w:t>https://eur-lex.europa.eu/legal-content/HU/TXT/?uri=OJ:L:2019:085I:TOC</w:t>
        </w:r>
      </w:hyperlink>
    </w:p>
    <w:p w:rsidR="006062B2" w:rsidRPr="006062B2" w:rsidRDefault="006062B2" w:rsidP="006062B2">
      <w:pPr>
        <w:rPr>
          <w:rFonts w:ascii="Times New Roman" w:hAnsi="Times New Roman" w:cs="Times New Roman"/>
          <w:sz w:val="24"/>
          <w:szCs w:val="24"/>
        </w:rPr>
      </w:pPr>
      <w:r w:rsidRPr="006062B2">
        <w:rPr>
          <w:rFonts w:ascii="Times New Roman" w:hAnsi="Times New Roman" w:cs="Times New Roman"/>
          <w:sz w:val="24"/>
          <w:szCs w:val="24"/>
        </w:rPr>
        <w:t> </w:t>
      </w:r>
    </w:p>
    <w:p w:rsidR="006062B2" w:rsidRPr="006062B2" w:rsidRDefault="006062B2" w:rsidP="006062B2">
      <w:pPr>
        <w:jc w:val="both"/>
        <w:rPr>
          <w:rFonts w:ascii="Times New Roman" w:hAnsi="Times New Roman" w:cs="Times New Roman"/>
          <w:sz w:val="24"/>
          <w:szCs w:val="24"/>
        </w:rPr>
      </w:pPr>
      <w:r w:rsidRPr="006062B2">
        <w:rPr>
          <w:rFonts w:ascii="Times New Roman" w:hAnsi="Times New Roman" w:cs="Times New Roman"/>
          <w:sz w:val="24"/>
          <w:szCs w:val="24"/>
        </w:rPr>
        <w:t xml:space="preserve">A kettős felhasználású termékek forgalmának engedélyezését végző Budapest Főváros Kormányhivatala (a továbbiakban: BFKH) Kereskedelmi, Haditechnikai, Exportellenőrzési és </w:t>
      </w:r>
      <w:proofErr w:type="spellStart"/>
      <w:r w:rsidRPr="006062B2">
        <w:rPr>
          <w:rFonts w:ascii="Times New Roman" w:hAnsi="Times New Roman" w:cs="Times New Roman"/>
          <w:sz w:val="24"/>
          <w:szCs w:val="24"/>
        </w:rPr>
        <w:t>Nemesfémhitelesítési</w:t>
      </w:r>
      <w:proofErr w:type="spellEnd"/>
      <w:r w:rsidRPr="006062B2">
        <w:rPr>
          <w:rFonts w:ascii="Times New Roman" w:hAnsi="Times New Roman" w:cs="Times New Roman"/>
          <w:sz w:val="24"/>
          <w:szCs w:val="24"/>
        </w:rPr>
        <w:t xml:space="preserve"> Főosztály Exportellenőrzési Osztály szintén tájékoztatás adott ki </w:t>
      </w:r>
      <w:r w:rsidRPr="006062B2">
        <w:rPr>
          <w:rFonts w:ascii="Times New Roman" w:hAnsi="Times New Roman" w:cs="Times New Roman"/>
          <w:bCs/>
          <w:sz w:val="24"/>
          <w:szCs w:val="24"/>
        </w:rPr>
        <w:t>a kettős felhasználású termékek Egyesült Királyságba (UK) történő kivitele esetén felmerülő jövőbeni engedélykötelezettségek kapcsán.</w:t>
      </w:r>
    </w:p>
    <w:p w:rsidR="006062B2" w:rsidRPr="006062B2" w:rsidRDefault="006062B2" w:rsidP="006062B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07472" w:rsidRPr="00307472" w:rsidRDefault="00307472" w:rsidP="00307472">
      <w:pPr>
        <w:tabs>
          <w:tab w:val="left" w:pos="426"/>
        </w:tabs>
        <w:jc w:val="both"/>
        <w:rPr>
          <w:rFonts w:ascii="Times New Roman" w:hAnsi="Times New Roman" w:cs="Times New Roman"/>
          <w:bCs/>
          <w:sz w:val="24"/>
          <w:szCs w:val="24"/>
        </w:rPr>
      </w:pPr>
      <w:bookmarkStart w:id="0" w:name="_GoBack"/>
      <w:r w:rsidRPr="00307472">
        <w:rPr>
          <w:rFonts w:ascii="Times New Roman" w:hAnsi="Times New Roman" w:cs="Times New Roman"/>
          <w:bCs/>
          <w:sz w:val="24"/>
          <w:szCs w:val="24"/>
        </w:rPr>
        <w:t xml:space="preserve">A BFKH tájékoztatásai az alábbi címen érhetők el: </w:t>
      </w:r>
    </w:p>
    <w:p w:rsidR="00307472" w:rsidRPr="00307472" w:rsidRDefault="00307472" w:rsidP="00307472">
      <w:pPr>
        <w:tabs>
          <w:tab w:val="left" w:pos="426"/>
        </w:tabs>
        <w:jc w:val="both"/>
        <w:rPr>
          <w:rFonts w:ascii="Times New Roman" w:hAnsi="Times New Roman" w:cs="Times New Roman"/>
          <w:bCs/>
          <w:sz w:val="24"/>
          <w:szCs w:val="24"/>
        </w:rPr>
      </w:pPr>
      <w:hyperlink r:id="rId5" w:history="1">
        <w:r w:rsidRPr="00307472">
          <w:rPr>
            <w:rStyle w:val="Hiperhivatkozs"/>
            <w:rFonts w:ascii="Times New Roman" w:hAnsi="Times New Roman" w:cs="Times New Roman"/>
            <w:bCs/>
            <w:color w:val="auto"/>
            <w:sz w:val="24"/>
            <w:szCs w:val="24"/>
            <w:u w:val="none"/>
          </w:rPr>
          <w:t>https://mkeh.gov.hu/kereskedelmi/exportellenorzesi_osztaly/brexit</w:t>
        </w:r>
      </w:hyperlink>
    </w:p>
    <w:bookmarkEnd w:id="0"/>
    <w:p w:rsidR="006062B2" w:rsidRPr="006062B2" w:rsidRDefault="006062B2" w:rsidP="006062B2">
      <w:p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6062B2" w:rsidRPr="006062B2" w:rsidRDefault="006062B2" w:rsidP="006062B2">
      <w:pPr>
        <w:jc w:val="both"/>
        <w:rPr>
          <w:rFonts w:ascii="Times New Roman" w:hAnsi="Times New Roman" w:cs="Times New Roman"/>
          <w:sz w:val="24"/>
          <w:szCs w:val="24"/>
        </w:rPr>
      </w:pPr>
      <w:r w:rsidRPr="006062B2"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 w:rsidRPr="006062B2">
        <w:rPr>
          <w:rFonts w:ascii="Times New Roman" w:hAnsi="Times New Roman" w:cs="Times New Roman"/>
          <w:sz w:val="24"/>
          <w:szCs w:val="24"/>
        </w:rPr>
        <w:t>BREXIT-re</w:t>
      </w:r>
      <w:proofErr w:type="spellEnd"/>
      <w:r w:rsidRPr="006062B2">
        <w:rPr>
          <w:rFonts w:ascii="Times New Roman" w:hAnsi="Times New Roman" w:cs="Times New Roman"/>
          <w:sz w:val="24"/>
          <w:szCs w:val="24"/>
        </w:rPr>
        <w:t xml:space="preserve"> történő felkészülés elősegítése, illetve a kettős felhasználású termékek </w:t>
      </w:r>
      <w:proofErr w:type="spellStart"/>
      <w:r w:rsidRPr="006062B2">
        <w:rPr>
          <w:rFonts w:ascii="Times New Roman" w:hAnsi="Times New Roman" w:cs="Times New Roman"/>
          <w:sz w:val="24"/>
          <w:szCs w:val="24"/>
        </w:rPr>
        <w:t>UK-ból</w:t>
      </w:r>
      <w:proofErr w:type="spellEnd"/>
      <w:r w:rsidRPr="006062B2">
        <w:rPr>
          <w:rFonts w:ascii="Times New Roman" w:hAnsi="Times New Roman" w:cs="Times New Roman"/>
          <w:sz w:val="24"/>
          <w:szCs w:val="24"/>
        </w:rPr>
        <w:t xml:space="preserve"> történő behozatala, illetve oda irányuló kivitelével kapcsolatban a későbbiekben felmerülő esetleges engedélykötelezettségek megismerése érdekében javasolt a fenti jogszabály, illetve a szóban forgó témakörben már kiadott tájékoztatások tanulmányozása, valamint – kérdéses esetekben – a termékkör forgalmának hazai engedélyezését végző </w:t>
      </w:r>
      <w:proofErr w:type="spellStart"/>
      <w:r w:rsidRPr="006062B2">
        <w:rPr>
          <w:rFonts w:ascii="Times New Roman" w:hAnsi="Times New Roman" w:cs="Times New Roman"/>
          <w:sz w:val="24"/>
          <w:szCs w:val="24"/>
        </w:rPr>
        <w:t>BFKH-val</w:t>
      </w:r>
      <w:proofErr w:type="spellEnd"/>
      <w:r w:rsidRPr="006062B2">
        <w:rPr>
          <w:rFonts w:ascii="Times New Roman" w:hAnsi="Times New Roman" w:cs="Times New Roman"/>
          <w:sz w:val="24"/>
          <w:szCs w:val="24"/>
        </w:rPr>
        <w:t xml:space="preserve"> történő kapcsolatfelvétel az alábbi elérhetőségeken:</w:t>
      </w:r>
    </w:p>
    <w:p w:rsidR="006062B2" w:rsidRPr="006062B2" w:rsidRDefault="006062B2" w:rsidP="006062B2">
      <w:p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6062B2" w:rsidRPr="006062B2" w:rsidRDefault="006062B2" w:rsidP="006062B2">
      <w:p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062B2">
        <w:rPr>
          <w:rFonts w:ascii="Times New Roman" w:hAnsi="Times New Roman" w:cs="Times New Roman"/>
          <w:sz w:val="24"/>
          <w:szCs w:val="24"/>
        </w:rPr>
        <w:t>ügyintézés</w:t>
      </w:r>
      <w:proofErr w:type="gramEnd"/>
      <w:r w:rsidRPr="006062B2">
        <w:rPr>
          <w:rFonts w:ascii="Times New Roman" w:hAnsi="Times New Roman" w:cs="Times New Roman"/>
          <w:sz w:val="24"/>
          <w:szCs w:val="24"/>
        </w:rPr>
        <w:t xml:space="preserve"> helye: 1124 Budapest, Németvölgyi út 37-39.</w:t>
      </w:r>
    </w:p>
    <w:p w:rsidR="006062B2" w:rsidRPr="006062B2" w:rsidRDefault="006062B2" w:rsidP="006062B2">
      <w:p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062B2">
        <w:rPr>
          <w:rFonts w:ascii="Times New Roman" w:hAnsi="Times New Roman" w:cs="Times New Roman"/>
          <w:sz w:val="24"/>
          <w:szCs w:val="24"/>
        </w:rPr>
        <w:t>levelezési</w:t>
      </w:r>
      <w:proofErr w:type="gramEnd"/>
      <w:r w:rsidRPr="006062B2">
        <w:rPr>
          <w:rFonts w:ascii="Times New Roman" w:hAnsi="Times New Roman" w:cs="Times New Roman"/>
          <w:sz w:val="24"/>
          <w:szCs w:val="24"/>
        </w:rPr>
        <w:t xml:space="preserve"> cím: 1534 Budapest, BKKP Pf. 919/1.</w:t>
      </w:r>
    </w:p>
    <w:p w:rsidR="006062B2" w:rsidRPr="006062B2" w:rsidRDefault="006062B2" w:rsidP="006062B2">
      <w:p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062B2">
        <w:rPr>
          <w:rFonts w:ascii="Times New Roman" w:hAnsi="Times New Roman" w:cs="Times New Roman"/>
          <w:sz w:val="24"/>
          <w:szCs w:val="24"/>
        </w:rPr>
        <w:t>telefonszám</w:t>
      </w:r>
      <w:proofErr w:type="gramEnd"/>
      <w:r w:rsidRPr="006062B2">
        <w:rPr>
          <w:rFonts w:ascii="Times New Roman" w:hAnsi="Times New Roman" w:cs="Times New Roman"/>
          <w:sz w:val="24"/>
          <w:szCs w:val="24"/>
        </w:rPr>
        <w:t>: 06-1-458-5577, 06-1-458-5601, 06-1-458-5599</w:t>
      </w:r>
    </w:p>
    <w:p w:rsidR="006062B2" w:rsidRPr="006062B2" w:rsidRDefault="006062B2" w:rsidP="006062B2">
      <w:p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062B2">
        <w:rPr>
          <w:rFonts w:ascii="Times New Roman" w:hAnsi="Times New Roman" w:cs="Times New Roman"/>
          <w:sz w:val="24"/>
          <w:szCs w:val="24"/>
        </w:rPr>
        <w:t>fax</w:t>
      </w:r>
      <w:proofErr w:type="gramEnd"/>
      <w:r w:rsidRPr="006062B2">
        <w:rPr>
          <w:rFonts w:ascii="Times New Roman" w:hAnsi="Times New Roman" w:cs="Times New Roman"/>
          <w:sz w:val="24"/>
          <w:szCs w:val="24"/>
        </w:rPr>
        <w:t>: 06-1-458-5869                                                       </w:t>
      </w:r>
    </w:p>
    <w:p w:rsidR="006062B2" w:rsidRPr="006062B2" w:rsidRDefault="006062B2" w:rsidP="006062B2">
      <w:p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062B2">
        <w:rPr>
          <w:rFonts w:ascii="Times New Roman" w:hAnsi="Times New Roman" w:cs="Times New Roman"/>
          <w:sz w:val="24"/>
          <w:szCs w:val="24"/>
        </w:rPr>
        <w:t>honlap</w:t>
      </w:r>
      <w:proofErr w:type="gramEnd"/>
      <w:r w:rsidRPr="006062B2">
        <w:rPr>
          <w:rFonts w:ascii="Times New Roman" w:hAnsi="Times New Roman" w:cs="Times New Roman"/>
          <w:sz w:val="24"/>
          <w:szCs w:val="24"/>
        </w:rPr>
        <w:t xml:space="preserve">: </w:t>
      </w:r>
      <w:hyperlink r:id="rId6" w:history="1">
        <w:r w:rsidRPr="006062B2">
          <w:rPr>
            <w:rStyle w:val="Hiperhivatkozs"/>
            <w:rFonts w:ascii="Times New Roman" w:hAnsi="Times New Roman" w:cs="Times New Roman"/>
            <w:color w:val="auto"/>
            <w:sz w:val="24"/>
            <w:szCs w:val="24"/>
            <w:u w:val="none"/>
          </w:rPr>
          <w:t>http://mkeh.gov.hu/haditechnika/kettos_felhasznalasu</w:t>
        </w:r>
      </w:hyperlink>
    </w:p>
    <w:p w:rsidR="006062B2" w:rsidRPr="006062B2" w:rsidRDefault="006062B2" w:rsidP="006062B2">
      <w:p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062B2">
        <w:rPr>
          <w:rFonts w:ascii="Times New Roman" w:hAnsi="Times New Roman" w:cs="Times New Roman"/>
          <w:sz w:val="24"/>
          <w:szCs w:val="24"/>
        </w:rPr>
        <w:t>e-mail</w:t>
      </w:r>
      <w:proofErr w:type="gramEnd"/>
      <w:r w:rsidRPr="006062B2">
        <w:rPr>
          <w:rFonts w:ascii="Times New Roman" w:hAnsi="Times New Roman" w:cs="Times New Roman"/>
          <w:sz w:val="24"/>
          <w:szCs w:val="24"/>
        </w:rPr>
        <w:t xml:space="preserve">: </w:t>
      </w:r>
      <w:hyperlink r:id="rId7" w:history="1">
        <w:r w:rsidRPr="006062B2">
          <w:rPr>
            <w:rStyle w:val="Hiperhivatkozs"/>
            <w:rFonts w:ascii="Times New Roman" w:hAnsi="Times New Roman" w:cs="Times New Roman"/>
            <w:color w:val="auto"/>
            <w:sz w:val="24"/>
            <w:szCs w:val="24"/>
            <w:u w:val="none"/>
          </w:rPr>
          <w:t>exportcontrol@bfkh.gov.hu</w:t>
        </w:r>
      </w:hyperlink>
      <w:r w:rsidRPr="006062B2">
        <w:rPr>
          <w:rFonts w:ascii="Times New Roman" w:hAnsi="Times New Roman" w:cs="Times New Roman"/>
          <w:sz w:val="24"/>
          <w:szCs w:val="24"/>
        </w:rPr>
        <w:t xml:space="preserve">, </w:t>
      </w:r>
      <w:hyperlink r:id="rId8" w:history="1">
        <w:r w:rsidRPr="006062B2">
          <w:rPr>
            <w:rStyle w:val="Hiperhivatkozs"/>
            <w:rFonts w:ascii="Times New Roman" w:hAnsi="Times New Roman" w:cs="Times New Roman"/>
            <w:color w:val="auto"/>
            <w:sz w:val="24"/>
            <w:szCs w:val="24"/>
            <w:u w:val="none"/>
          </w:rPr>
          <w:t>khenf@bfkh.gov.hu</w:t>
        </w:r>
      </w:hyperlink>
    </w:p>
    <w:p w:rsidR="006062B2" w:rsidRPr="006062B2" w:rsidRDefault="006062B2" w:rsidP="006062B2">
      <w:p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6062B2" w:rsidRPr="006062B2" w:rsidRDefault="006062B2" w:rsidP="006062B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062B2" w:rsidRPr="006062B2" w:rsidRDefault="006062B2" w:rsidP="006062B2">
      <w:pPr>
        <w:jc w:val="both"/>
        <w:outlineLvl w:val="6"/>
        <w:rPr>
          <w:rFonts w:ascii="Times New Roman" w:hAnsi="Times New Roman" w:cs="Times New Roman"/>
        </w:rPr>
      </w:pPr>
    </w:p>
    <w:p w:rsidR="006062B2" w:rsidRPr="006062B2" w:rsidRDefault="006062B2" w:rsidP="006062B2">
      <w:pPr>
        <w:jc w:val="both"/>
        <w:outlineLvl w:val="6"/>
        <w:rPr>
          <w:rFonts w:ascii="Times New Roman" w:hAnsi="Times New Roman" w:cs="Times New Roman"/>
        </w:rPr>
      </w:pPr>
    </w:p>
    <w:p w:rsidR="006062B2" w:rsidRPr="006062B2" w:rsidRDefault="006062B2" w:rsidP="006062B2">
      <w:pPr>
        <w:jc w:val="both"/>
        <w:outlineLvl w:val="6"/>
        <w:rPr>
          <w:rFonts w:ascii="Times New Roman" w:hAnsi="Times New Roman" w:cs="Times New Roman"/>
        </w:rPr>
      </w:pPr>
    </w:p>
    <w:p w:rsidR="006062B2" w:rsidRPr="006062B2" w:rsidRDefault="006062B2" w:rsidP="006062B2">
      <w:pPr>
        <w:jc w:val="both"/>
        <w:outlineLvl w:val="6"/>
        <w:rPr>
          <w:rFonts w:ascii="Times New Roman" w:hAnsi="Times New Roman" w:cs="Times New Roman"/>
        </w:rPr>
      </w:pPr>
    </w:p>
    <w:p w:rsidR="006062B2" w:rsidRDefault="006062B2" w:rsidP="006062B2">
      <w:pPr>
        <w:tabs>
          <w:tab w:val="left" w:pos="426"/>
        </w:tabs>
        <w:jc w:val="both"/>
      </w:pPr>
      <w:bookmarkStart w:id="1" w:name="pr2"/>
      <w:bookmarkEnd w:id="1"/>
    </w:p>
    <w:p w:rsidR="006062B2" w:rsidRDefault="006062B2" w:rsidP="006062B2">
      <w:pPr>
        <w:jc w:val="both"/>
      </w:pPr>
    </w:p>
    <w:p w:rsidR="006062B2" w:rsidRDefault="006062B2" w:rsidP="006062B2"/>
    <w:p w:rsidR="00F90CB8" w:rsidRDefault="00F90CB8"/>
    <w:sectPr w:rsidR="00F90C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62B2"/>
    <w:rsid w:val="00307472"/>
    <w:rsid w:val="006062B2"/>
    <w:rsid w:val="00F90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B19B829-CDCD-4B83-90E8-85ADE21355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theme="minorHAnsi"/>
        <w:sz w:val="24"/>
        <w:szCs w:val="22"/>
        <w:lang w:val="hu-H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6062B2"/>
    <w:rPr>
      <w:rFonts w:ascii="Calibri" w:hAnsi="Calibri" w:cs="Calibri"/>
      <w:sz w:val="22"/>
    </w:rPr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6062B2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8151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1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595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6171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393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7323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56578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41947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656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877253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411168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68865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688612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104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8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henf@bfkh.gov.hu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eei@bfkh.gov.h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mkeh.gov.hu/haditechnika/kettos_felhasznalasu" TargetMode="External"/><Relationship Id="rId5" Type="http://schemas.openxmlformats.org/officeDocument/2006/relationships/hyperlink" Target="https://mkeh.gov.hu/kereskedelmi/exportellenorzesi_osztaly/brexit" TargetMode="External"/><Relationship Id="rId10" Type="http://schemas.openxmlformats.org/officeDocument/2006/relationships/theme" Target="theme/theme1.xml"/><Relationship Id="rId4" Type="http://schemas.openxmlformats.org/officeDocument/2006/relationships/hyperlink" Target="https://eur-lex.europa.eu/legal-content/HU/TXT/?uri=OJ:L:2019:085I:TOC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333</Words>
  <Characters>2303</Characters>
  <Application>Microsoft Office Word</Application>
  <DocSecurity>0</DocSecurity>
  <Lines>19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2631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Harnberger György Gábor</dc:creator>
  <cp:keywords/>
  <dc:description/>
  <cp:lastModifiedBy>Harnberger György Gábor</cp:lastModifiedBy>
  <cp:revision>3</cp:revision>
  <dcterms:created xsi:type="dcterms:W3CDTF">2019-03-27T09:56:00Z</dcterms:created>
  <dcterms:modified xsi:type="dcterms:W3CDTF">2019-03-27T11:30:00Z</dcterms:modified>
</cp:coreProperties>
</file>